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ind w:left="-566" w:right="-466"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Título em inglês</w:t>
      </w:r>
      <w:r w:rsidDel="00000000" w:rsidR="00000000" w:rsidRPr="00000000">
        <w:rPr>
          <w:rtl w:val="0"/>
        </w:rPr>
      </w:r>
    </w:p>
    <w:p w:rsidR="00000000" w:rsidDel="00000000" w:rsidP="00000000" w:rsidRDefault="00000000" w:rsidRPr="00000000" w14:paraId="00000002">
      <w:pPr>
        <w:spacing w:after="240" w:before="240" w:line="360" w:lineRule="auto"/>
        <w:ind w:left="-566" w:right="-466"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Authors: Médico</w:t>
      </w:r>
      <w:r w:rsidDel="00000000" w:rsidR="00000000" w:rsidRPr="00000000">
        <w:rPr>
          <w:rFonts w:ascii="Times New Roman" w:cs="Times New Roman" w:eastAsia="Times New Roman" w:hAnsi="Times New Roman"/>
          <w:b w:val="1"/>
          <w:highlight w:val="white"/>
          <w:vertAlign w:val="superscript"/>
          <w:rtl w:val="0"/>
        </w:rPr>
        <w:t xml:space="preserve">1</w:t>
      </w:r>
      <w:r w:rsidDel="00000000" w:rsidR="00000000" w:rsidRPr="00000000">
        <w:rPr>
          <w:rFonts w:ascii="Times New Roman" w:cs="Times New Roman" w:eastAsia="Times New Roman" w:hAnsi="Times New Roman"/>
          <w:b w:val="1"/>
          <w:highlight w:val="white"/>
          <w:rtl w:val="0"/>
        </w:rPr>
        <w:t xml:space="preserve">,  Médico</w:t>
      </w:r>
      <w:r w:rsidDel="00000000" w:rsidR="00000000" w:rsidRPr="00000000">
        <w:rPr>
          <w:rFonts w:ascii="Times New Roman" w:cs="Times New Roman" w:eastAsia="Times New Roman" w:hAnsi="Times New Roman"/>
          <w:b w:val="1"/>
          <w:highlight w:val="white"/>
          <w:vertAlign w:val="superscript"/>
          <w:rtl w:val="0"/>
        </w:rPr>
        <w:t xml:space="preserve">1</w:t>
      </w:r>
      <w:r w:rsidDel="00000000" w:rsidR="00000000" w:rsidRPr="00000000">
        <w:rPr>
          <w:rFonts w:ascii="Times New Roman" w:cs="Times New Roman" w:eastAsia="Times New Roman" w:hAnsi="Times New Roman"/>
          <w:b w:val="1"/>
          <w:highlight w:val="white"/>
          <w:rtl w:val="0"/>
        </w:rPr>
        <w:t xml:space="preserve">, Médico</w:t>
      </w:r>
      <w:r w:rsidDel="00000000" w:rsidR="00000000" w:rsidRPr="00000000">
        <w:rPr>
          <w:rFonts w:ascii="Times New Roman" w:cs="Times New Roman" w:eastAsia="Times New Roman" w:hAnsi="Times New Roman"/>
          <w:b w:val="1"/>
          <w:highlight w:val="white"/>
          <w:vertAlign w:val="superscript"/>
          <w:rtl w:val="0"/>
        </w:rPr>
        <w:t xml:space="preserve">2</w:t>
      </w:r>
      <w:r w:rsidDel="00000000" w:rsidR="00000000" w:rsidRPr="00000000">
        <w:rPr>
          <w:rFonts w:ascii="Times New Roman" w:cs="Times New Roman" w:eastAsia="Times New Roman" w:hAnsi="Times New Roman"/>
          <w:b w:val="1"/>
          <w:highlight w:val="white"/>
          <w:rtl w:val="0"/>
        </w:rPr>
        <w:t xml:space="preserve">, =</w:t>
      </w:r>
    </w:p>
    <w:p w:rsidR="00000000" w:rsidDel="00000000" w:rsidP="00000000" w:rsidRDefault="00000000" w:rsidRPr="00000000" w14:paraId="00000003">
      <w:pPr>
        <w:spacing w:after="240" w:before="240" w:line="360" w:lineRule="auto"/>
        <w:ind w:left="-566" w:right="-466"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1. Albert Einstein Israeli Institute of Education and Research, General Neurology Division. Av. Albert Einstein, 627/701, Morumbi, São Paulo, BR 05652-900.</w:t>
      </w:r>
    </w:p>
    <w:p w:rsidR="00000000" w:rsidDel="00000000" w:rsidP="00000000" w:rsidRDefault="00000000" w:rsidRPr="00000000" w14:paraId="00000004">
      <w:pPr>
        <w:spacing w:after="240" w:before="240" w:line="360" w:lineRule="auto"/>
        <w:ind w:left="-566" w:right="-466"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2. Albert Einstein Israeli Institute of Education and Research, Neuroradiology Division. Av. Albert Einstein, 627/701, Morumbi, São Paulo, BR 05652-900.</w:t>
      </w:r>
    </w:p>
    <w:p w:rsidR="00000000" w:rsidDel="00000000" w:rsidP="00000000" w:rsidRDefault="00000000" w:rsidRPr="00000000" w14:paraId="00000005">
      <w:pPr>
        <w:spacing w:after="240" w:before="240" w:line="360" w:lineRule="auto"/>
        <w:ind w:left="-566" w:right="-4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Keywords: Wernicke Encephalopathy, ocular motility disorders, nystagmus, pathologic. </w:t>
      </w:r>
      <w:r w:rsidDel="00000000" w:rsidR="00000000" w:rsidRPr="00000000">
        <w:rPr>
          <w:rtl w:val="0"/>
        </w:rPr>
      </w:r>
    </w:p>
    <w:p w:rsidR="00000000" w:rsidDel="00000000" w:rsidP="00000000" w:rsidRDefault="00000000" w:rsidRPr="00000000" w14:paraId="00000006">
      <w:pPr>
        <w:spacing w:after="240" w:before="240" w:line="360" w:lineRule="auto"/>
        <w:ind w:left="-566" w:right="-4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História Clínica e exame físico sucintos em inglês. Exemplo de trecho: </w:t>
      </w:r>
      <w:r w:rsidDel="00000000" w:rsidR="00000000" w:rsidRPr="00000000">
        <w:rPr>
          <w:rFonts w:ascii="Times New Roman" w:cs="Times New Roman" w:eastAsia="Times New Roman" w:hAnsi="Times New Roman"/>
          <w:color w:val="000000"/>
          <w:rtl w:val="0"/>
        </w:rPr>
        <w:t xml:space="preserve">A 34-year-old woman presented in </w:t>
      </w:r>
      <w:r w:rsidDel="00000000" w:rsidR="00000000" w:rsidRPr="00000000">
        <w:rPr>
          <w:rFonts w:ascii="Times New Roman" w:cs="Times New Roman" w:eastAsia="Times New Roman" w:hAnsi="Times New Roman"/>
          <w:color w:val="000000"/>
          <w:highlight w:val="white"/>
          <w:rtl w:val="0"/>
        </w:rPr>
        <w:t xml:space="preserve">our emergency department with symptoms of encephalopathy characterized by visual hallucinations, gait disturbance and oscillopsia. Her family reported a previous diagnosis of schizophrenia and a 3-month history of severe restrictive food intake, self-induced vomiting, with no reports of alcohol abuse, tobacco, or any</w:t>
      </w:r>
      <w:r w:rsidDel="00000000" w:rsidR="00000000" w:rsidRPr="00000000">
        <w:rPr>
          <w:rFonts w:ascii="Times New Roman" w:cs="Times New Roman" w:eastAsia="Times New Roman" w:hAnsi="Times New Roman"/>
          <w:color w:val="000000"/>
          <w:rtl w:val="0"/>
        </w:rPr>
        <w:t xml:space="preserve"> recreational drugs use. On neurological examination, the patient was disoriented in time and space, with reduced attention span and apathy.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Exames complementares realizados. Exemplo de texto:</w:t>
      </w:r>
      <w:r w:rsidDel="00000000" w:rsidR="00000000" w:rsidRPr="00000000">
        <w:rPr>
          <w:rFonts w:ascii="Times New Roman" w:cs="Times New Roman" w:eastAsia="Times New Roman" w:hAnsi="Times New Roman"/>
          <w:color w:val="000000"/>
          <w:rtl w:val="0"/>
        </w:rPr>
        <w:t xml:space="preserve"> Exams such as f</w:t>
      </w:r>
      <w:r w:rsidDel="00000000" w:rsidR="00000000" w:rsidRPr="00000000">
        <w:rPr>
          <w:rFonts w:ascii="Times New Roman" w:cs="Times New Roman" w:eastAsia="Times New Roman" w:hAnsi="Times New Roman"/>
          <w:color w:val="000000"/>
          <w:highlight w:val="white"/>
          <w:rtl w:val="0"/>
        </w:rPr>
        <w:t xml:space="preserve">ull blood count</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Brain MRI showed a </w:t>
      </w:r>
      <w:r w:rsidDel="00000000" w:rsidR="00000000" w:rsidRPr="00000000">
        <w:rPr>
          <w:rFonts w:ascii="Times New Roman" w:cs="Times New Roman" w:eastAsia="Times New Roman" w:hAnsi="Times New Roman"/>
          <w:color w:val="231f20"/>
          <w:highlight w:val="white"/>
          <w:rtl w:val="0"/>
        </w:rPr>
        <w:t xml:space="preserve">symmetric hyperintensity lesions in the medial thalamus and </w:t>
      </w:r>
      <w:r w:rsidDel="00000000" w:rsidR="00000000" w:rsidRPr="00000000">
        <w:rPr>
          <w:rFonts w:ascii="Times New Roman" w:cs="Times New Roman" w:eastAsia="Times New Roman" w:hAnsi="Times New Roman"/>
          <w:color w:val="000000"/>
          <w:highlight w:val="white"/>
          <w:rtl w:val="0"/>
        </w:rPr>
        <w:t xml:space="preserve">in the </w:t>
      </w:r>
      <w:r w:rsidDel="00000000" w:rsidR="00000000" w:rsidRPr="00000000">
        <w:rPr>
          <w:rFonts w:ascii="Times New Roman" w:cs="Times New Roman" w:eastAsia="Times New Roman" w:hAnsi="Times New Roman"/>
          <w:color w:val="231f20"/>
          <w:highlight w:val="white"/>
          <w:rtl w:val="0"/>
        </w:rPr>
        <w:t xml:space="preserve">periaqueductal gray matter</w:t>
      </w:r>
      <w:r w:rsidDel="00000000" w:rsidR="00000000" w:rsidRPr="00000000">
        <w:rPr>
          <w:rFonts w:ascii="Times New Roman" w:cs="Times New Roman" w:eastAsia="Times New Roman" w:hAnsi="Times New Roman"/>
          <w:rtl w:val="0"/>
        </w:rPr>
        <w:t xml:space="preserve"> (figure 1). </w:t>
      </w:r>
      <w:r w:rsidDel="00000000" w:rsidR="00000000" w:rsidRPr="00000000">
        <w:rPr>
          <w:rFonts w:ascii="Times New Roman" w:cs="Times New Roman" w:eastAsia="Times New Roman" w:hAnsi="Times New Roman"/>
          <w:highlight w:val="white"/>
          <w:rtl w:val="0"/>
        </w:rPr>
        <w:t xml:space="preserve">Clinical and neuroimaging findings supported the diagnosis of Wernicke’s encephalopathy (WE) and an intravenous thiamine treatment was started for five days followed by an oral treatment. One month later, her upbeat nystagmus </w:t>
      </w:r>
      <w:r w:rsidDel="00000000" w:rsidR="00000000" w:rsidRPr="00000000">
        <w:rPr>
          <w:rFonts w:ascii="Times New Roman" w:cs="Times New Roman" w:eastAsia="Times New Roman" w:hAnsi="Times New Roman"/>
          <w:rtl w:val="0"/>
        </w:rPr>
        <w:t xml:space="preserve">showed nearly complete resolution. </w:t>
      </w:r>
    </w:p>
    <w:p w:rsidR="00000000" w:rsidDel="00000000" w:rsidP="00000000" w:rsidRDefault="00000000" w:rsidRPr="00000000" w14:paraId="00000007">
      <w:pPr>
        <w:spacing w:after="240" w:before="240" w:line="360" w:lineRule="auto"/>
        <w:ind w:left="-566" w:right="-4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Revisão breve sobre o diagnóstico final. Exemplo de texto: : </w:t>
      </w:r>
      <w:r w:rsidDel="00000000" w:rsidR="00000000" w:rsidRPr="00000000">
        <w:rPr>
          <w:rFonts w:ascii="Times New Roman" w:cs="Times New Roman" w:eastAsia="Times New Roman" w:hAnsi="Times New Roman"/>
          <w:rtl w:val="0"/>
        </w:rPr>
        <w:t xml:space="preserve">Wernicke’s encephalopathy results from thiamine (vitamin B1) deficiency and </w:t>
      </w:r>
      <w:r w:rsidDel="00000000" w:rsidR="00000000" w:rsidRPr="00000000">
        <w:rPr>
          <w:rFonts w:ascii="Times New Roman" w:cs="Times New Roman" w:eastAsia="Times New Roman" w:hAnsi="Times New Roman"/>
          <w:highlight w:val="white"/>
          <w:rtl w:val="0"/>
        </w:rPr>
        <w:t xml:space="preserve">is characterized </w:t>
      </w:r>
      <w:r w:rsidDel="00000000" w:rsidR="00000000" w:rsidRPr="00000000">
        <w:rPr>
          <w:rFonts w:ascii="Times New Roman" w:cs="Times New Roman" w:eastAsia="Times New Roman" w:hAnsi="Times New Roman"/>
          <w:rtl w:val="0"/>
        </w:rPr>
        <w:t xml:space="preserve">by the </w:t>
      </w:r>
      <w:r w:rsidDel="00000000" w:rsidR="00000000" w:rsidRPr="00000000">
        <w:rPr>
          <w:rFonts w:ascii="Times New Roman" w:cs="Times New Roman" w:eastAsia="Times New Roman" w:hAnsi="Times New Roman"/>
          <w:highlight w:val="white"/>
          <w:rtl w:val="0"/>
        </w:rPr>
        <w:t xml:space="preserve">classical triad</w:t>
      </w:r>
      <w:r w:rsidDel="00000000" w:rsidR="00000000" w:rsidRPr="00000000">
        <w:rPr>
          <w:rFonts w:ascii="Times New Roman" w:cs="Times New Roman" w:eastAsia="Times New Roman" w:hAnsi="Times New Roman"/>
          <w:rtl w:val="0"/>
        </w:rPr>
        <w:t xml:space="preserve"> of gait ataxia, </w:t>
      </w:r>
      <w:r w:rsidDel="00000000" w:rsidR="00000000" w:rsidRPr="00000000">
        <w:rPr>
          <w:rFonts w:ascii="Times New Roman" w:cs="Times New Roman" w:eastAsia="Times New Roman" w:hAnsi="Times New Roman"/>
          <w:highlight w:val="white"/>
          <w:rtl w:val="0"/>
        </w:rPr>
        <w:t xml:space="preserve">encephalopathy</w:t>
      </w:r>
      <w:r w:rsidDel="00000000" w:rsidR="00000000" w:rsidRPr="00000000">
        <w:rPr>
          <w:rFonts w:ascii="Times New Roman" w:cs="Times New Roman" w:eastAsia="Times New Roman" w:hAnsi="Times New Roman"/>
          <w:rtl w:val="0"/>
        </w:rPr>
        <w:t xml:space="preserve"> and oculomotor manifestations</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Although oculomotor signs are present in 93% of the cases</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being most common the presence of ophtalmoparesia, descriptions of different types of nystagmus are uncommon in this entity</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Historically, WE has been associated with alcoholism, however, its association has been recognized in patients with nutritional deficiencies of any origin, like malnutrition, hyperemesis gravidarum and gastric surgery</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spacing w:after="240" w:before="240" w:line="360" w:lineRule="auto"/>
        <w:ind w:right="-466"/>
        <w:jc w:val="both"/>
        <w:rPr>
          <w:rFonts w:ascii="Times New Roman" w:cs="Times New Roman" w:eastAsia="Times New Roman" w:hAnsi="Times New Roman"/>
          <w:color w:val="ff0000"/>
        </w:rPr>
      </w:pPr>
      <w:r w:rsidDel="00000000" w:rsidR="00000000" w:rsidRPr="00000000">
        <w:br w:type="page"/>
      </w:r>
      <w:r w:rsidDel="00000000" w:rsidR="00000000" w:rsidRPr="00000000">
        <w:rPr>
          <w:rFonts w:ascii="Times New Roman" w:cs="Times New Roman" w:eastAsia="Times New Roman" w:hAnsi="Times New Roman"/>
          <w:color w:val="ff0000"/>
          <w:rtl w:val="0"/>
        </w:rPr>
        <w:t xml:space="preserve">Referências em Inglês: </w:t>
      </w:r>
    </w:p>
    <w:p w:rsidR="00000000" w:rsidDel="00000000" w:rsidP="00000000" w:rsidRDefault="00000000" w:rsidRPr="00000000" w14:paraId="00000009">
      <w:pPr>
        <w:spacing w:after="240" w:before="240" w:line="360" w:lineRule="auto"/>
        <w:ind w:right="-466"/>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References: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Galvin R, Bråthen G, Ivashynka A, et al. EFNS guidelines for diagnosis, therapy and prevention of Wernicke encephalopathy. Eur J Neurol 2010;17:1408-1418.</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Harper CG, Giles M, Finlay-Jones R. Clinical signs in the Wernicke-Korsakoff complex: a retrospective analysis of 131 cases diagnosed at necropsy. J Neurol Neurosurg Psychiatry 1986;49:341-345.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Kesler A, Stolovitch C, Hoffmann C, Avni I, Morad Y. Acute ophthalmoplegia and nystagmus in infants fed a thiamine-deficient formula: an epidemic of Wernicke encephalopathy. J Neuroophthalmol 2005;25:169-172.</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Wilson RK, Kuncl RW, Corse AM. Wernicke's encephalopathy: beyond alcoholism. Nat Clin Pract Neurol 2006;2:54-58; quiz 58.</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Abdou E, Hazell AS. Thiamine deficiency: an update of pathophysiologic mechanisms and future therapeutic considerations. Neurochem Res 2015;40:353-361.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Seo Y, Reed M, Chang JS, Lui F. Wernicke's Encephalopathy Presenting With Confusion in a Patient With Schizophrenia. Cureus 2022;14:e32320.</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Sharma S, Sumich PM, Francis IC, Kiernan MC, Spira PJ. Wernicke's encephalopathy presenting with upbeating nystagmus. J Clin Neurosci 2002;9:476-478.</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t xml:space="preserve">COGAN DG, VICTOR M. Ocular signs of Wernicke's disease. Trans Am Ophthalmol Soc 1953;51:103-116.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tab/>
        <w:t xml:space="preserve">Theodoreson MD, Zykaite A, Haley M, Meena S. Case of non-alcoholic Wernicke's encephalopathy. BMJ Case Rep 2019;12.</w:t>
      </w:r>
    </w:p>
    <w:p w:rsidR="00000000" w:rsidDel="00000000" w:rsidP="00000000" w:rsidRDefault="00000000" w:rsidRPr="00000000" w14:paraId="00000013">
      <w:pPr>
        <w:spacing w:after="240" w:before="240" w:line="360" w:lineRule="auto"/>
        <w:ind w:left="-566" w:right="-466" w:firstLine="0"/>
        <w:jc w:val="both"/>
        <w:rPr>
          <w:rFonts w:ascii="Times New Roman" w:cs="Times New Roman" w:eastAsia="Times New Roman" w:hAnsi="Times New Roman"/>
          <w:color w:val="231f20"/>
        </w:rPr>
      </w:pPr>
      <w:r w:rsidDel="00000000" w:rsidR="00000000" w:rsidRPr="00000000">
        <w:rPr>
          <w:rtl w:val="0"/>
        </w:rPr>
      </w:r>
    </w:p>
    <w:p w:rsidR="00000000" w:rsidDel="00000000" w:rsidP="00000000" w:rsidRDefault="00000000" w:rsidRPr="00000000" w14:paraId="00000014">
      <w:pPr>
        <w:spacing w:after="240" w:before="240" w:line="360" w:lineRule="auto"/>
        <w:ind w:left="-566" w:right="-466" w:firstLine="0"/>
        <w:jc w:val="both"/>
        <w:rPr>
          <w:rFonts w:ascii="Times New Roman" w:cs="Times New Roman" w:eastAsia="Times New Roman" w:hAnsi="Times New Roman"/>
          <w:b w:val="1"/>
          <w:color w:val="231f20"/>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360" w:lineRule="auto"/>
        <w:ind w:left="-566" w:right="-466" w:firstLine="0"/>
        <w:jc w:val="both"/>
        <w:rPr>
          <w:rFonts w:ascii="Times New Roman" w:cs="Times New Roman" w:eastAsia="Times New Roman" w:hAnsi="Times New Roman"/>
          <w:b w:val="1"/>
          <w:color w:val="231f20"/>
        </w:rPr>
      </w:pPr>
      <w:r w:rsidDel="00000000" w:rsidR="00000000" w:rsidRPr="00000000">
        <w:rPr>
          <w:rFonts w:ascii="Times New Roman" w:cs="Times New Roman" w:eastAsia="Times New Roman" w:hAnsi="Times New Roman"/>
          <w:b w:val="1"/>
          <w:color w:val="ff0000"/>
          <w:rtl w:val="0"/>
        </w:rPr>
        <w:t xml:space="preserve">Legendas de Figuras, Fotos e Vídeos(as figuras podem ser em arquivos separados a depender da revista) </w:t>
      </w:r>
      <w:r w:rsidDel="00000000" w:rsidR="00000000" w:rsidRPr="00000000">
        <w:rPr>
          <w:rtl w:val="0"/>
        </w:rPr>
      </w:r>
    </w:p>
    <w:p w:rsidR="00000000" w:rsidDel="00000000" w:rsidP="00000000" w:rsidRDefault="00000000" w:rsidRPr="00000000" w14:paraId="00000016">
      <w:pPr>
        <w:spacing w:after="240" w:before="240" w:line="360" w:lineRule="auto"/>
        <w:ind w:left="-566" w:right="-466" w:firstLine="0"/>
        <w:jc w:val="both"/>
        <w:rPr>
          <w:rFonts w:ascii="Times New Roman" w:cs="Times New Roman" w:eastAsia="Times New Roman" w:hAnsi="Times New Roman"/>
          <w:color w:val="231f20"/>
          <w:highlight w:val="white"/>
        </w:rPr>
      </w:pPr>
      <w:r w:rsidDel="00000000" w:rsidR="00000000" w:rsidRPr="00000000">
        <w:rPr>
          <w:rFonts w:ascii="Times New Roman" w:cs="Times New Roman" w:eastAsia="Times New Roman" w:hAnsi="Times New Roman"/>
          <w:b w:val="1"/>
          <w:color w:val="231f20"/>
          <w:highlight w:val="white"/>
          <w:rtl w:val="0"/>
        </w:rPr>
        <w:t xml:space="preserve">Figure 1. </w:t>
      </w:r>
      <w:r w:rsidDel="00000000" w:rsidR="00000000" w:rsidRPr="00000000">
        <w:rPr>
          <w:rFonts w:ascii="Times New Roman" w:cs="Times New Roman" w:eastAsia="Times New Roman" w:hAnsi="Times New Roman"/>
          <w:color w:val="231f20"/>
          <w:highlight w:val="white"/>
          <w:rtl w:val="0"/>
        </w:rPr>
        <w:t xml:space="preserve">Axial brain MRI shows symmetric hyperintensity lesions</w:t>
      </w:r>
    </w:p>
    <w:p w:rsidR="00000000" w:rsidDel="00000000" w:rsidP="00000000" w:rsidRDefault="00000000" w:rsidRPr="00000000" w14:paraId="00000017">
      <w:pPr>
        <w:spacing w:after="240" w:before="240" w:line="360" w:lineRule="auto"/>
        <w:ind w:left="-566" w:right="-466" w:firstLine="0"/>
        <w:jc w:val="both"/>
        <w:rPr>
          <w:rFonts w:ascii="Times New Roman" w:cs="Times New Roman" w:eastAsia="Times New Roman" w:hAnsi="Times New Roman"/>
          <w:color w:val="212121"/>
        </w:rPr>
      </w:pPr>
      <w:r w:rsidDel="00000000" w:rsidR="00000000" w:rsidRPr="00000000">
        <w:rPr>
          <w:rFonts w:ascii="Times New Roman" w:cs="Times New Roman" w:eastAsia="Times New Roman" w:hAnsi="Times New Roman"/>
          <w:b w:val="1"/>
          <w:color w:val="212121"/>
          <w:rtl w:val="0"/>
        </w:rPr>
        <w:t xml:space="preserve">Video</w:t>
      </w:r>
      <w:r w:rsidDel="00000000" w:rsidR="00000000" w:rsidRPr="00000000">
        <w:rPr>
          <w:rFonts w:ascii="Times New Roman" w:cs="Times New Roman" w:eastAsia="Times New Roman" w:hAnsi="Times New Roman"/>
          <w:color w:val="212121"/>
          <w:rtl w:val="0"/>
        </w:rPr>
        <w:t xml:space="preserve">. </w:t>
      </w:r>
    </w:p>
    <w:p w:rsidR="00000000" w:rsidDel="00000000" w:rsidP="00000000" w:rsidRDefault="00000000" w:rsidRPr="00000000" w14:paraId="00000018">
      <w:pPr>
        <w:spacing w:after="240" w:before="240" w:line="360" w:lineRule="auto"/>
        <w:ind w:left="-566" w:right="-466"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Essa parte depende de cada revista, mas é de bom tom ter para dar mais seriedade e credibilidade aos relatos. São perguntas óbvias, inclusive aprovação do comitê de ética do hospital (ou termo de consentimento caso seja necessário). </w:t>
      </w:r>
    </w:p>
    <w:p w:rsidR="00000000" w:rsidDel="00000000" w:rsidP="00000000" w:rsidRDefault="00000000" w:rsidRPr="00000000" w14:paraId="00000019">
      <w:pPr>
        <w:spacing w:after="240" w:before="240" w:line="360" w:lineRule="auto"/>
        <w:ind w:left="-566" w:right="-466" w:firstLine="0"/>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b w:val="1"/>
          <w:color w:val="212121"/>
          <w:rtl w:val="0"/>
        </w:rPr>
        <w:t xml:space="preserve">Statements: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154" w:right="-466" w:hanging="360"/>
        <w:jc w:val="both"/>
        <w:rPr>
          <w:b w:val="0"/>
          <w:i w:val="0"/>
          <w:smallCaps w:val="0"/>
          <w:strike w:val="0"/>
          <w:color w:val="231f2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Competing interests: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there are no competing interests for any author.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54" w:right="-466" w:hanging="360"/>
        <w:jc w:val="both"/>
        <w:rPr>
          <w:b w:val="0"/>
          <w:i w:val="0"/>
          <w:smallCaps w:val="0"/>
          <w:strike w:val="0"/>
          <w:color w:val="231f2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Acknowledgments: none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54"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confirm that all authors have read and approved the submitted manuscript.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54"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Manuscript has not been submitted elsewhere nor published elsewhere in whole or in part.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54"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Funding, grant/award info: none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54"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Ethical approval information: Yes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54"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sharing statement: June 07, 2023.</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154" w:right="-466" w:hanging="360"/>
        <w:jc w:val="both"/>
        <w:rPr>
          <w:b w:val="0"/>
          <w:i w:val="0"/>
          <w:smallCaps w:val="0"/>
          <w:strike w:val="0"/>
          <w:color w:val="231f2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highlight w:val="white"/>
          <w:u w:val="none"/>
          <w:vertAlign w:val="baseline"/>
          <w:rtl w:val="0"/>
        </w:rPr>
        <w:t xml:space="preserve">Contributions: </w:t>
      </w:r>
      <w:r w:rsidDel="00000000" w:rsidR="00000000" w:rsidRPr="00000000">
        <w:rPr>
          <w:rFonts w:ascii="Times New Roman" w:cs="Times New Roman" w:eastAsia="Times New Roman" w:hAnsi="Times New Roman"/>
          <w:b w:val="1"/>
          <w:color w:val="ff0000"/>
          <w:highlight w:val="white"/>
          <w:rtl w:val="0"/>
        </w:rPr>
        <w:t xml:space="preserve">Está porção aqui é dedicada a detalhar cada função dos autores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154" w:right="-466" w:hanging="360"/>
        <w:jc w:val="both"/>
        <w:rPr>
          <w:rFonts w:ascii="Times New Roman" w:cs="Times New Roman" w:eastAsia="Times New Roman" w:hAnsi="Times New Roman"/>
          <w:color w:val="231f20"/>
          <w:highlight w:val="white"/>
          <w:u w:val="none"/>
        </w:rPr>
      </w:pPr>
      <w:r w:rsidDel="00000000" w:rsidR="00000000" w:rsidRPr="00000000">
        <w:rPr>
          <w:rtl w:val="0"/>
        </w:rPr>
      </w:r>
    </w:p>
    <w:p w:rsidR="00000000" w:rsidDel="00000000" w:rsidP="00000000" w:rsidRDefault="00000000" w:rsidRPr="00000000" w14:paraId="00000023">
      <w:pPr>
        <w:spacing w:after="240" w:before="240" w:line="360" w:lineRule="auto"/>
        <w:ind w:left="-566" w:right="-466" w:firstLine="0"/>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ff0000"/>
          <w:rtl w:val="0"/>
        </w:rPr>
        <w:t xml:space="preserve">Autor principal </w:t>
      </w:r>
      <w:r w:rsidDel="00000000" w:rsidR="00000000" w:rsidRPr="00000000">
        <w:rPr>
          <w:rFonts w:ascii="Times New Roman" w:cs="Times New Roman" w:eastAsia="Times New Roman" w:hAnsi="Times New Roman"/>
          <w:color w:val="231f20"/>
          <w:rtl w:val="0"/>
        </w:rPr>
        <w:t xml:space="preserve">: drafting/revision of the manuscript for content, including medical writing for content; major role in the acquisition of data; study concept or design; analysis or interpretation of data; </w:t>
      </w:r>
      <w:r w:rsidDel="00000000" w:rsidR="00000000" w:rsidRPr="00000000">
        <w:rPr>
          <w:rFonts w:ascii="Times New Roman" w:cs="Times New Roman" w:eastAsia="Times New Roman" w:hAnsi="Times New Roman"/>
          <w:color w:val="ff0000"/>
          <w:rtl w:val="0"/>
        </w:rPr>
        <w:t xml:space="preserve">Autor secundário</w:t>
      </w:r>
      <w:r w:rsidDel="00000000" w:rsidR="00000000" w:rsidRPr="00000000">
        <w:rPr>
          <w:rFonts w:ascii="Times New Roman" w:cs="Times New Roman" w:eastAsia="Times New Roman" w:hAnsi="Times New Roman"/>
          <w:color w:val="231f20"/>
          <w:rtl w:val="0"/>
        </w:rPr>
        <w:t xml:space="preserve">: major role in the acquisition of data; analysis or interpretation of data; Rachel Marin: major role in the acquisition of data; analysis or interpretation of data; </w:t>
      </w:r>
      <w:r w:rsidDel="00000000" w:rsidR="00000000" w:rsidRPr="00000000">
        <w:rPr>
          <w:rFonts w:ascii="Times New Roman" w:cs="Times New Roman" w:eastAsia="Times New Roman" w:hAnsi="Times New Roman"/>
          <w:color w:val="ff0000"/>
          <w:rtl w:val="0"/>
        </w:rPr>
        <w:t xml:space="preserve">Autor terciário </w:t>
      </w:r>
      <w:r w:rsidDel="00000000" w:rsidR="00000000" w:rsidRPr="00000000">
        <w:rPr>
          <w:rFonts w:ascii="Times New Roman" w:cs="Times New Roman" w:eastAsia="Times New Roman" w:hAnsi="Times New Roman"/>
          <w:color w:val="231f20"/>
          <w:rtl w:val="0"/>
        </w:rPr>
        <w:t xml:space="preserve">: major role in the acquisition of data; analysis or interpretation of data; </w:t>
      </w:r>
      <w:r w:rsidDel="00000000" w:rsidR="00000000" w:rsidRPr="00000000">
        <w:rPr>
          <w:rFonts w:ascii="Times New Roman" w:cs="Times New Roman" w:eastAsia="Times New Roman" w:hAnsi="Times New Roman"/>
          <w:color w:val="ff0000"/>
          <w:rtl w:val="0"/>
        </w:rPr>
        <w:t xml:space="preserve">Autor Quaternário</w:t>
      </w:r>
      <w:r w:rsidDel="00000000" w:rsidR="00000000" w:rsidRPr="00000000">
        <w:rPr>
          <w:rFonts w:ascii="Times New Roman" w:cs="Times New Roman" w:eastAsia="Times New Roman" w:hAnsi="Times New Roman"/>
          <w:color w:val="231f20"/>
          <w:rtl w:val="0"/>
        </w:rPr>
        <w:t xml:space="preserve">: major role in the acquisition of data; analysis or interpretation of data; major role in the acquisition of data; study concept or design; Analysis or interpretation of data. </w:t>
      </w:r>
    </w:p>
    <w:p w:rsidR="00000000" w:rsidDel="00000000" w:rsidP="00000000" w:rsidRDefault="00000000" w:rsidRPr="00000000" w14:paraId="00000024">
      <w:pPr>
        <w:spacing w:after="240" w:before="240" w:line="360" w:lineRule="auto"/>
        <w:ind w:left="-566" w:right="-466" w:firstLine="0"/>
        <w:jc w:val="both"/>
        <w:rPr>
          <w:rFonts w:ascii="Times New Roman" w:cs="Times New Roman" w:eastAsia="Times New Roman" w:hAnsi="Times New Roman"/>
          <w:color w:val="231f20"/>
          <w:highlight w:val="white"/>
        </w:rPr>
      </w:pPr>
      <w:r w:rsidDel="00000000" w:rsidR="00000000" w:rsidRPr="00000000">
        <w:rPr>
          <w:rtl w:val="0"/>
        </w:rPr>
      </w:r>
    </w:p>
    <w:sectPr>
      <w:pgSz w:h="16834" w:w="11909" w:orient="portrait"/>
      <w:pgMar w:bottom="151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54" w:hanging="360"/>
      </w:pPr>
      <w:rPr>
        <w:rFonts w:ascii="Noto Sans Symbols" w:cs="Noto Sans Symbols" w:eastAsia="Noto Sans Symbols" w:hAnsi="Noto Sans Symbols"/>
      </w:rPr>
    </w:lvl>
    <w:lvl w:ilvl="1">
      <w:start w:val="1"/>
      <w:numFmt w:val="bullet"/>
      <w:lvlText w:val="o"/>
      <w:lvlJc w:val="left"/>
      <w:pPr>
        <w:ind w:left="874" w:hanging="360"/>
      </w:pPr>
      <w:rPr>
        <w:rFonts w:ascii="Courier New" w:cs="Courier New" w:eastAsia="Courier New" w:hAnsi="Courier New"/>
      </w:rPr>
    </w:lvl>
    <w:lvl w:ilvl="2">
      <w:start w:val="1"/>
      <w:numFmt w:val="bullet"/>
      <w:lvlText w:val="▪"/>
      <w:lvlJc w:val="left"/>
      <w:pPr>
        <w:ind w:left="1594" w:hanging="360"/>
      </w:pPr>
      <w:rPr>
        <w:rFonts w:ascii="Noto Sans Symbols" w:cs="Noto Sans Symbols" w:eastAsia="Noto Sans Symbols" w:hAnsi="Noto Sans Symbols"/>
      </w:rPr>
    </w:lvl>
    <w:lvl w:ilvl="3">
      <w:start w:val="1"/>
      <w:numFmt w:val="bullet"/>
      <w:lvlText w:val="●"/>
      <w:lvlJc w:val="left"/>
      <w:pPr>
        <w:ind w:left="2314" w:hanging="360"/>
      </w:pPr>
      <w:rPr>
        <w:rFonts w:ascii="Noto Sans Symbols" w:cs="Noto Sans Symbols" w:eastAsia="Noto Sans Symbols" w:hAnsi="Noto Sans Symbols"/>
      </w:rPr>
    </w:lvl>
    <w:lvl w:ilvl="4">
      <w:start w:val="1"/>
      <w:numFmt w:val="bullet"/>
      <w:lvlText w:val="o"/>
      <w:lvlJc w:val="left"/>
      <w:pPr>
        <w:ind w:left="3034" w:hanging="360"/>
      </w:pPr>
      <w:rPr>
        <w:rFonts w:ascii="Courier New" w:cs="Courier New" w:eastAsia="Courier New" w:hAnsi="Courier New"/>
      </w:rPr>
    </w:lvl>
    <w:lvl w:ilvl="5">
      <w:start w:val="1"/>
      <w:numFmt w:val="bullet"/>
      <w:lvlText w:val="▪"/>
      <w:lvlJc w:val="left"/>
      <w:pPr>
        <w:ind w:left="3754" w:hanging="360"/>
      </w:pPr>
      <w:rPr>
        <w:rFonts w:ascii="Noto Sans Symbols" w:cs="Noto Sans Symbols" w:eastAsia="Noto Sans Symbols" w:hAnsi="Noto Sans Symbols"/>
      </w:rPr>
    </w:lvl>
    <w:lvl w:ilvl="6">
      <w:start w:val="1"/>
      <w:numFmt w:val="bullet"/>
      <w:lvlText w:val="●"/>
      <w:lvlJc w:val="left"/>
      <w:pPr>
        <w:ind w:left="4474" w:hanging="360"/>
      </w:pPr>
      <w:rPr>
        <w:rFonts w:ascii="Noto Sans Symbols" w:cs="Noto Sans Symbols" w:eastAsia="Noto Sans Symbols" w:hAnsi="Noto Sans Symbols"/>
      </w:rPr>
    </w:lvl>
    <w:lvl w:ilvl="7">
      <w:start w:val="1"/>
      <w:numFmt w:val="bullet"/>
      <w:lvlText w:val="o"/>
      <w:lvlJc w:val="left"/>
      <w:pPr>
        <w:ind w:left="5194" w:hanging="360"/>
      </w:pPr>
      <w:rPr>
        <w:rFonts w:ascii="Courier New" w:cs="Courier New" w:eastAsia="Courier New" w:hAnsi="Courier New"/>
      </w:rPr>
    </w:lvl>
    <w:lvl w:ilvl="8">
      <w:start w:val="1"/>
      <w:numFmt w:val="bullet"/>
      <w:lvlText w:val="▪"/>
      <w:lvlJc w:val="left"/>
      <w:pPr>
        <w:ind w:left="5914"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